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8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014" w:rsidRPr="005B1014" w:rsidRDefault="005B1014" w:rsidP="005B1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014" w:rsidRDefault="005B1014" w:rsidP="005B1014">
      <w:pPr>
        <w:pStyle w:val="10"/>
        <w:shd w:val="clear" w:color="auto" w:fill="auto"/>
        <w:spacing w:after="0" w:line="322" w:lineRule="exact"/>
        <w:ind w:left="60"/>
      </w:pPr>
      <w:r>
        <w:t>«Об утверждении муниципальной программы оздоровления</w:t>
      </w:r>
      <w:r>
        <w:br/>
        <w:t>муниципальных финансов муниципального образования «Городской округ город Карабулак» на  период 2021-2023 годов»</w:t>
      </w:r>
    </w:p>
    <w:p w:rsidR="005B1014" w:rsidRDefault="005B1014" w:rsidP="005B1014">
      <w:pPr>
        <w:pStyle w:val="10"/>
        <w:shd w:val="clear" w:color="auto" w:fill="auto"/>
        <w:spacing w:after="0" w:line="322" w:lineRule="exact"/>
        <w:ind w:left="60"/>
      </w:pPr>
    </w:p>
    <w:p w:rsidR="005B1014" w:rsidRDefault="005B1014" w:rsidP="005B1014">
      <w:pPr>
        <w:pStyle w:val="10"/>
        <w:shd w:val="clear" w:color="auto" w:fill="auto"/>
        <w:spacing w:after="0" w:line="322" w:lineRule="exact"/>
        <w:ind w:left="60"/>
      </w:pPr>
    </w:p>
    <w:p w:rsidR="005B1014" w:rsidRDefault="005B1014" w:rsidP="005B1014">
      <w:pPr>
        <w:pStyle w:val="20"/>
        <w:shd w:val="clear" w:color="auto" w:fill="auto"/>
        <w:spacing w:before="0" w:after="0" w:line="322" w:lineRule="exact"/>
        <w:ind w:firstLine="780"/>
      </w:pPr>
      <w: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935CF9">
        <w:t>Городской округ город Карабулак</w:t>
      </w:r>
      <w:r>
        <w:t xml:space="preserve">», в целях обеспечения сбалансированности и устойчивости бюджетной системы </w:t>
      </w:r>
      <w:r w:rsidR="00935CF9">
        <w:t>ОМС «А</w:t>
      </w:r>
      <w:r>
        <w:t xml:space="preserve">дминистрация </w:t>
      </w:r>
      <w:r w:rsidR="00935CF9">
        <w:t xml:space="preserve">г.Карабулак» </w:t>
      </w:r>
      <w:r>
        <w:t>постановляет:</w:t>
      </w:r>
    </w:p>
    <w:p w:rsidR="005B1014" w:rsidRDefault="005B1014" w:rsidP="005B1014">
      <w:pPr>
        <w:pStyle w:val="20"/>
        <w:shd w:val="clear" w:color="auto" w:fill="auto"/>
        <w:tabs>
          <w:tab w:val="left" w:pos="1053"/>
        </w:tabs>
        <w:spacing w:before="0" w:after="0" w:line="322" w:lineRule="exact"/>
        <w:ind w:firstLine="780"/>
      </w:pPr>
      <w:r>
        <w:t>1.</w:t>
      </w:r>
      <w:r>
        <w:tab/>
        <w:t xml:space="preserve">Утвердить муниципальную программу «Оздоровление муниципальных финансов </w:t>
      </w:r>
      <w:r w:rsidR="00935CF9">
        <w:t>муниципального образования «Городской округ город Карабулак»</w:t>
      </w:r>
      <w:r>
        <w:t xml:space="preserve"> на период 2021-2023 годов» согласно приложению.</w:t>
      </w:r>
    </w:p>
    <w:p w:rsidR="005B1014" w:rsidRDefault="005B1014" w:rsidP="005B1014">
      <w:pPr>
        <w:pStyle w:val="20"/>
        <w:shd w:val="clear" w:color="auto" w:fill="auto"/>
        <w:tabs>
          <w:tab w:val="left" w:pos="1068"/>
        </w:tabs>
        <w:spacing w:before="0" w:after="0" w:line="322" w:lineRule="exact"/>
        <w:ind w:firstLine="780"/>
      </w:pPr>
      <w:r>
        <w:t>2.</w:t>
      </w:r>
      <w:r>
        <w:tab/>
        <w:t>Опубликовать настоящее постановление в газете «</w:t>
      </w:r>
      <w:r w:rsidR="00935CF9">
        <w:t>Керда Ха</w:t>
      </w:r>
      <w:r>
        <w:t xml:space="preserve">» и разместить на официальном сайте </w:t>
      </w:r>
      <w:r w:rsidR="007B15E7">
        <w:t>муниципального образования «Городской округ город Карабулак»</w:t>
      </w:r>
      <w:r>
        <w:t>.</w:t>
      </w:r>
    </w:p>
    <w:p w:rsidR="005B1014" w:rsidRDefault="005B1014" w:rsidP="005B1014">
      <w:pPr>
        <w:pStyle w:val="20"/>
        <w:shd w:val="clear" w:color="auto" w:fill="auto"/>
        <w:tabs>
          <w:tab w:val="left" w:pos="1058"/>
        </w:tabs>
        <w:spacing w:before="0" w:after="0" w:line="322" w:lineRule="exact"/>
        <w:ind w:firstLine="780"/>
      </w:pPr>
      <w:r>
        <w:t>3.</w:t>
      </w:r>
      <w:r>
        <w:tab/>
        <w:t xml:space="preserve">Постановление вступает в силу со дня его подписания и распространяет свое действие на </w:t>
      </w:r>
      <w:r w:rsidR="007B15E7">
        <w:t>правоотнош</w:t>
      </w:r>
      <w:r>
        <w:t>ения, возникшие с 01 января 2021 года.</w:t>
      </w:r>
    </w:p>
    <w:p w:rsidR="005B1014" w:rsidRDefault="005B1014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E7" w:rsidRDefault="007B15E7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E7" w:rsidRDefault="007B15E7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E7" w:rsidRDefault="007B15E7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E7" w:rsidRDefault="007B15E7" w:rsidP="005B1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5E7" w:rsidRDefault="007B15E7" w:rsidP="007B1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185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                     </w:t>
      </w:r>
      <w:r w:rsidR="003F0185" w:rsidRPr="003F018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01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0185" w:rsidRPr="003F0185">
        <w:rPr>
          <w:rFonts w:ascii="Times New Roman" w:hAnsi="Times New Roman" w:cs="Times New Roman"/>
          <w:b/>
          <w:sz w:val="28"/>
          <w:szCs w:val="28"/>
        </w:rPr>
        <w:t xml:space="preserve">                     М-Б.М. Осканов</w:t>
      </w: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7B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85" w:rsidRPr="003F0185" w:rsidRDefault="003F0185" w:rsidP="003F0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0185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3F0185" w:rsidRPr="003F0185" w:rsidRDefault="003F0185" w:rsidP="003F0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0185">
        <w:rPr>
          <w:rFonts w:ascii="Times New Roman" w:hAnsi="Times New Roman" w:cs="Times New Roman"/>
        </w:rPr>
        <w:t>ОМС «Администрация г.Карабулак»</w:t>
      </w:r>
    </w:p>
    <w:p w:rsidR="003F0185" w:rsidRDefault="003F0185" w:rsidP="003F0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0185">
        <w:rPr>
          <w:rFonts w:ascii="Times New Roman" w:hAnsi="Times New Roman" w:cs="Times New Roman"/>
        </w:rPr>
        <w:t>от__________________2021 г №____</w:t>
      </w:r>
    </w:p>
    <w:p w:rsidR="003F0185" w:rsidRDefault="003F0185" w:rsidP="003F01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232B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32B" w:rsidRPr="0023232B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2B">
        <w:rPr>
          <w:rFonts w:ascii="Times New Roman" w:hAnsi="Times New Roman" w:cs="Times New Roman"/>
          <w:sz w:val="28"/>
          <w:szCs w:val="28"/>
        </w:rPr>
        <w:t>ПРОГРАММА</w:t>
      </w:r>
    </w:p>
    <w:p w:rsidR="0023232B" w:rsidRPr="0023232B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2B">
        <w:rPr>
          <w:rFonts w:ascii="Times New Roman" w:hAnsi="Times New Roman" w:cs="Times New Roman"/>
          <w:sz w:val="28"/>
          <w:szCs w:val="28"/>
        </w:rPr>
        <w:t>ОЗДОРОВЛЕНИЯ МУНИЦИПАЛЬНЫХ ФИНАНСОВ</w:t>
      </w:r>
    </w:p>
    <w:p w:rsidR="003F0185" w:rsidRPr="004B2595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 2021 - 2023 г.</w:t>
      </w:r>
    </w:p>
    <w:p w:rsidR="0023232B" w:rsidRPr="004B2595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32B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3232B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7109"/>
      </w:tblGrid>
      <w:tr w:rsidR="00BB63BB" w:rsidRPr="00BB63BB" w:rsidTr="00BB63BB">
        <w:trPr>
          <w:trHeight w:hRule="exact" w:val="100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3BB" w:rsidRPr="00BB63BB" w:rsidRDefault="00BB63BB" w:rsidP="00BB63BB">
            <w:pPr>
              <w:widowControl w:val="0"/>
              <w:spacing w:after="12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BB63BB" w:rsidRPr="00BB63BB" w:rsidRDefault="00BB63BB" w:rsidP="00BB63BB">
            <w:pPr>
              <w:widowControl w:val="0"/>
              <w:spacing w:before="120" w:after="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«Оздоровление муниципальных финансов муниципального образования «Городской округ город Карабулак» на период 2021-2023 годов»</w:t>
            </w:r>
          </w:p>
        </w:tc>
      </w:tr>
      <w:tr w:rsidR="00BB63BB" w:rsidRPr="00BB63BB" w:rsidTr="002A58B7">
        <w:trPr>
          <w:trHeight w:hRule="exact" w:val="6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12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Заказчик</w:t>
            </w:r>
          </w:p>
          <w:p w:rsidR="00BB63BB" w:rsidRPr="00BB63BB" w:rsidRDefault="00BB63BB" w:rsidP="00BB63BB">
            <w:pPr>
              <w:widowControl w:val="0"/>
              <w:spacing w:before="120" w:after="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6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ОМС «А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дминистрация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г.Карабулак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B63BB" w:rsidRPr="00BB63BB" w:rsidTr="00BB63BB">
        <w:trPr>
          <w:trHeight w:hRule="exact" w:val="9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разработчики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187235" w:rsidP="00187235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отдел экономики, торговли и сельского хозяйства</w:t>
            </w:r>
            <w:r w:rsidR="00BB63BB"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ОМС «А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дминистрация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г.Карабулак</w:t>
            </w:r>
            <w:r w:rsidR="00BB63BB"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BB63BB" w:rsidRPr="00BB63BB" w:rsidTr="00BB63BB">
        <w:trPr>
          <w:trHeight w:hRule="exact" w:val="98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Исполнители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мероприятий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BB" w:rsidRPr="00BB63BB" w:rsidRDefault="00BB63BB" w:rsidP="00EB429A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структурные подразделения Администрации </w:t>
            </w:r>
            <w:r w:rsidR="0018723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г.Карабулак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ГУ </w:t>
            </w:r>
            <w:r w:rsidR="00EB429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18723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Карабулак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ское </w:t>
            </w:r>
            <w:r w:rsidR="00EB429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городское 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финансовое управление</w:t>
            </w:r>
            <w:r w:rsidR="00EB429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BB63BB" w:rsidRPr="00BB63BB" w:rsidTr="002A3295">
        <w:trPr>
          <w:trHeight w:hRule="exact" w:val="199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 и задачи 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улучшение состояния бюджетной системы и финансового оздоровление бюджета </w:t>
            </w:r>
            <w:r w:rsidR="00EB429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г.Карабулак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B63BB" w:rsidRPr="00BB63BB" w:rsidRDefault="00BB63BB" w:rsidP="00E66F99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сохранение устойчивости бюджетной системы и обеспечение сбалансированности бюджета </w:t>
            </w:r>
            <w:r w:rsidR="00EB429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город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а; обеспечение роста налоговых и неналоговых доходов бюджета </w:t>
            </w:r>
            <w:r w:rsidR="00EB429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город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а.</w:t>
            </w:r>
          </w:p>
        </w:tc>
      </w:tr>
      <w:tr w:rsidR="00BB63BB" w:rsidRPr="00BB63BB" w:rsidTr="00BB63BB">
        <w:trPr>
          <w:trHeight w:hRule="exact" w:val="9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реализации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3BB" w:rsidRPr="00BB63BB" w:rsidRDefault="00BB63BB" w:rsidP="00BB63BB">
            <w:pPr>
              <w:widowControl w:val="0"/>
              <w:spacing w:after="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2021 - 2023 годы.</w:t>
            </w:r>
          </w:p>
        </w:tc>
      </w:tr>
      <w:tr w:rsidR="00BB63BB" w:rsidRPr="00BB63BB" w:rsidTr="00BB63BB">
        <w:trPr>
          <w:trHeight w:hRule="exact" w:val="131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основных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мероприятий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3BB" w:rsidRPr="00BB63BB" w:rsidRDefault="00BB63BB" w:rsidP="00BB63BB">
            <w:pPr>
              <w:widowControl w:val="0"/>
              <w:spacing w:after="0" w:line="326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пе</w:t>
            </w:r>
            <w:r w:rsidR="00E66F9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речень основных мероприятий прогр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аммы представлен в приложении № 1 программы.</w:t>
            </w:r>
          </w:p>
        </w:tc>
      </w:tr>
      <w:tr w:rsidR="00BB63BB" w:rsidRPr="00BB63BB" w:rsidTr="002A58B7">
        <w:trPr>
          <w:trHeight w:hRule="exact" w:val="97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17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</w:p>
          <w:p w:rsidR="00BB63BB" w:rsidRPr="00BB63BB" w:rsidRDefault="00BB63BB" w:rsidP="00BB63BB">
            <w:pPr>
              <w:widowControl w:val="0"/>
              <w:spacing w:after="0" w:line="317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исполнением</w:t>
            </w:r>
          </w:p>
          <w:p w:rsidR="00BB63BB" w:rsidRPr="00BB63BB" w:rsidRDefault="00BB63BB" w:rsidP="00BB63BB">
            <w:pPr>
              <w:widowControl w:val="0"/>
              <w:spacing w:after="0" w:line="317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E66F99">
            <w:pPr>
              <w:widowControl w:val="0"/>
              <w:spacing w:after="0" w:line="317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контроль за реализацией программы осуществляют: Глава </w:t>
            </w:r>
            <w:r w:rsidR="00E66F9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городского округа г.Карабулак</w:t>
            </w: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E66F99"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ГУ </w:t>
            </w:r>
            <w:r w:rsidR="00E66F9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«Карабулак</w:t>
            </w:r>
            <w:r w:rsidR="00E66F99"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ское </w:t>
            </w:r>
            <w:r w:rsidR="00E66F9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городское </w:t>
            </w:r>
            <w:r w:rsidR="00E66F99"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финансовое управление</w:t>
            </w:r>
            <w:r w:rsidR="00E66F9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  <w:tr w:rsidR="00BB63BB" w:rsidRPr="00BB63BB" w:rsidTr="0076031F">
        <w:trPr>
          <w:trHeight w:hRule="exact" w:val="133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3BB" w:rsidRPr="00BB63BB" w:rsidRDefault="004248FD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и источники финансировани</w:t>
            </w:r>
            <w:r w:rsidR="00BB63BB"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я программы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мероприятиями программы финансирование не предусмотрено</w:t>
            </w:r>
          </w:p>
        </w:tc>
      </w:tr>
      <w:tr w:rsidR="0076031F" w:rsidRPr="00BB63BB" w:rsidTr="0076031F">
        <w:trPr>
          <w:trHeight w:hRule="exact" w:val="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31F" w:rsidRDefault="0076031F" w:rsidP="00BB63BB">
            <w:pPr>
              <w:widowControl w:val="0"/>
              <w:spacing w:after="0" w:line="322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31F" w:rsidRPr="00BB63BB" w:rsidRDefault="0076031F" w:rsidP="00BB63BB">
            <w:pPr>
              <w:widowControl w:val="0"/>
              <w:spacing w:after="0" w:line="322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B63BB" w:rsidRPr="00BB63BB" w:rsidTr="004248FD">
        <w:trPr>
          <w:trHeight w:hRule="exact" w:val="229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Ожидаемые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результаты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укрепление устойчивости бюджетной системы</w:t>
            </w:r>
          </w:p>
          <w:p w:rsidR="00BB63BB" w:rsidRPr="00BB63BB" w:rsidRDefault="004248FD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образования «Городской округ город Карабулак»</w:t>
            </w:r>
            <w:r w:rsidR="00BB63BB"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B63BB" w:rsidRPr="00BB63BB" w:rsidRDefault="00BB63BB" w:rsidP="00BB63BB">
            <w:pPr>
              <w:widowControl w:val="0"/>
              <w:spacing w:after="0" w:line="322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BB63B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качества управления муниципальными</w:t>
            </w:r>
            <w:r w:rsidR="004248F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248FD" w:rsidRPr="004248F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финансами </w:t>
            </w:r>
            <w:r w:rsidR="00421F1B" w:rsidRPr="00421F1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образования «Городской округ город Карабулак»</w:t>
            </w:r>
            <w:r w:rsidR="004248FD" w:rsidRPr="004248F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эффективность и результативность осуществления бюджетных расходов.</w:t>
            </w:r>
          </w:p>
        </w:tc>
      </w:tr>
    </w:tbl>
    <w:p w:rsidR="0023232B" w:rsidRDefault="0023232B" w:rsidP="0023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BC8" w:rsidRPr="00020BC8" w:rsidRDefault="00020BC8" w:rsidP="00020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1.</w:t>
      </w:r>
      <w:r w:rsidRPr="00020BC8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1.1.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Программа оздоровления муниципальных финансов </w:t>
      </w:r>
      <w:r w:rsidR="00421F1B" w:rsidRPr="00421F1B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 xml:space="preserve"> на период 2021 - 2023 годов (далее - Программа) разработана в целях формирования бюджетной политики </w:t>
      </w:r>
      <w:r w:rsidR="00421F1B">
        <w:rPr>
          <w:rFonts w:ascii="Times New Roman" w:hAnsi="Times New Roman" w:cs="Times New Roman"/>
          <w:sz w:val="28"/>
          <w:szCs w:val="28"/>
        </w:rPr>
        <w:t>г. Карабулак</w:t>
      </w:r>
      <w:r w:rsidRPr="00020BC8">
        <w:rPr>
          <w:rFonts w:ascii="Times New Roman" w:hAnsi="Times New Roman" w:cs="Times New Roman"/>
          <w:sz w:val="28"/>
          <w:szCs w:val="28"/>
        </w:rPr>
        <w:t xml:space="preserve">, ориентированной на создание условий для эффективного управления муниципальными финансами </w:t>
      </w:r>
      <w:r w:rsidR="00421F1B">
        <w:rPr>
          <w:rFonts w:ascii="Times New Roman" w:hAnsi="Times New Roman" w:cs="Times New Roman"/>
          <w:sz w:val="28"/>
          <w:szCs w:val="28"/>
        </w:rPr>
        <w:t>город</w:t>
      </w:r>
      <w:r w:rsidRPr="00020BC8">
        <w:rPr>
          <w:rFonts w:ascii="Times New Roman" w:hAnsi="Times New Roman" w:cs="Times New Roman"/>
          <w:sz w:val="28"/>
          <w:szCs w:val="28"/>
        </w:rPr>
        <w:t>а.</w:t>
      </w:r>
    </w:p>
    <w:p w:rsid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1.2.</w:t>
      </w:r>
      <w:r w:rsidRPr="00020BC8">
        <w:rPr>
          <w:rFonts w:ascii="Times New Roman" w:hAnsi="Times New Roman" w:cs="Times New Roman"/>
          <w:sz w:val="28"/>
          <w:szCs w:val="28"/>
        </w:rPr>
        <w:tab/>
        <w:t>Программа определяет основные направления деятельности органа местного самоуправления в сфере роста доходов, оптимизации расходов местного бюджета, ограничения дефицита бюджета, сокращение муниципального долга на период до 2023 года в условиях ограниченности бюджетных ресурсов.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C8" w:rsidRPr="00020BC8" w:rsidRDefault="00020BC8" w:rsidP="00020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2.</w:t>
      </w:r>
      <w:r w:rsidRPr="00020BC8">
        <w:rPr>
          <w:rFonts w:ascii="Times New Roman" w:hAnsi="Times New Roman" w:cs="Times New Roman"/>
          <w:sz w:val="28"/>
          <w:szCs w:val="28"/>
        </w:rPr>
        <w:tab/>
        <w:t>Цели и задачи Программы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2.1.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Цель Программы - улучшение состояния бюджетной системы и финансового оздоровление бюджета </w:t>
      </w:r>
      <w:r w:rsidR="005C52A5" w:rsidRPr="005C52A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C52A5">
        <w:rPr>
          <w:rFonts w:ascii="Times New Roman" w:hAnsi="Times New Roman" w:cs="Times New Roman"/>
          <w:sz w:val="28"/>
          <w:szCs w:val="28"/>
        </w:rPr>
        <w:t xml:space="preserve"> </w:t>
      </w:r>
      <w:r w:rsidRPr="00020BC8">
        <w:rPr>
          <w:rFonts w:ascii="Times New Roman" w:hAnsi="Times New Roman" w:cs="Times New Roman"/>
          <w:sz w:val="28"/>
          <w:szCs w:val="28"/>
        </w:rPr>
        <w:t xml:space="preserve">- </w:t>
      </w:r>
      <w:r w:rsidR="005C52A5">
        <w:rPr>
          <w:rFonts w:ascii="Times New Roman" w:hAnsi="Times New Roman" w:cs="Times New Roman"/>
          <w:sz w:val="28"/>
          <w:szCs w:val="28"/>
        </w:rPr>
        <w:t>город</w:t>
      </w:r>
      <w:r w:rsidRPr="00020BC8">
        <w:rPr>
          <w:rFonts w:ascii="Times New Roman" w:hAnsi="Times New Roman" w:cs="Times New Roman"/>
          <w:sz w:val="28"/>
          <w:szCs w:val="28"/>
        </w:rPr>
        <w:t>а).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2.2.</w:t>
      </w:r>
      <w:r w:rsidRPr="00020BC8">
        <w:rPr>
          <w:rFonts w:ascii="Times New Roman" w:hAnsi="Times New Roman" w:cs="Times New Roman"/>
          <w:sz w:val="28"/>
          <w:szCs w:val="28"/>
        </w:rPr>
        <w:tab/>
        <w:t>Достижение поставленных целей будет осуществляться посредством решения следующих задач Программы: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а)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сохранение устойчивости бюджетной системы и обеспечение сбалансированности бюджета </w:t>
      </w:r>
      <w:r w:rsidR="005C52A5">
        <w:rPr>
          <w:rFonts w:ascii="Times New Roman" w:hAnsi="Times New Roman" w:cs="Times New Roman"/>
          <w:sz w:val="28"/>
          <w:szCs w:val="28"/>
        </w:rPr>
        <w:t>города</w:t>
      </w:r>
      <w:r w:rsidRPr="00020BC8">
        <w:rPr>
          <w:rFonts w:ascii="Times New Roman" w:hAnsi="Times New Roman" w:cs="Times New Roman"/>
          <w:sz w:val="28"/>
          <w:szCs w:val="28"/>
        </w:rPr>
        <w:t>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б)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обеспечение роста налоговых и неналоговых доходов бюджета </w:t>
      </w:r>
      <w:r w:rsidR="005C52A5">
        <w:rPr>
          <w:rFonts w:ascii="Times New Roman" w:hAnsi="Times New Roman" w:cs="Times New Roman"/>
          <w:sz w:val="28"/>
          <w:szCs w:val="28"/>
        </w:rPr>
        <w:t>город</w:t>
      </w:r>
      <w:r w:rsidRPr="00020BC8">
        <w:rPr>
          <w:rFonts w:ascii="Times New Roman" w:hAnsi="Times New Roman" w:cs="Times New Roman"/>
          <w:sz w:val="28"/>
          <w:szCs w:val="28"/>
        </w:rPr>
        <w:t>а, в том числе путем:</w:t>
      </w:r>
    </w:p>
    <w:p w:rsidR="00020BC8" w:rsidRPr="00020BC8" w:rsidRDefault="005C52A5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BC8" w:rsidRPr="00020BC8">
        <w:rPr>
          <w:rFonts w:ascii="Times New Roman" w:hAnsi="Times New Roman" w:cs="Times New Roman"/>
          <w:sz w:val="28"/>
          <w:szCs w:val="28"/>
        </w:rPr>
        <w:t>оптимизации предоставляемых налоговых льгот;</w:t>
      </w:r>
    </w:p>
    <w:p w:rsidR="00020BC8" w:rsidRPr="00020BC8" w:rsidRDefault="005C52A5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BC8" w:rsidRPr="00020BC8">
        <w:rPr>
          <w:rFonts w:ascii="Times New Roman" w:hAnsi="Times New Roman" w:cs="Times New Roman"/>
          <w:sz w:val="28"/>
          <w:szCs w:val="28"/>
        </w:rPr>
        <w:t xml:space="preserve">повышения эффективности 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020BC8" w:rsidRPr="00020BC8">
        <w:rPr>
          <w:rFonts w:ascii="Times New Roman" w:hAnsi="Times New Roman" w:cs="Times New Roman"/>
          <w:sz w:val="28"/>
          <w:szCs w:val="28"/>
        </w:rPr>
        <w:t>а;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в)</w:t>
      </w:r>
      <w:r w:rsidRPr="00020BC8"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бюджетных средств, в том числе путем:</w:t>
      </w:r>
    </w:p>
    <w:p w:rsidR="00020BC8" w:rsidRPr="00020BC8" w:rsidRDefault="0007660D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BC8" w:rsidRPr="00020BC8">
        <w:rPr>
          <w:rFonts w:ascii="Times New Roman" w:hAnsi="Times New Roman" w:cs="Times New Roman"/>
          <w:sz w:val="28"/>
          <w:szCs w:val="28"/>
        </w:rPr>
        <w:t>оптимизации расходных обязательств, не связанных с решением вопросов, отнесенных к полномочиям органов местного самоуправления;</w:t>
      </w:r>
    </w:p>
    <w:p w:rsidR="00020BC8" w:rsidRPr="00020BC8" w:rsidRDefault="0007660D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BC8" w:rsidRPr="00020BC8">
        <w:rPr>
          <w:rFonts w:ascii="Times New Roman" w:hAnsi="Times New Roman" w:cs="Times New Roman"/>
          <w:sz w:val="28"/>
          <w:szCs w:val="28"/>
        </w:rPr>
        <w:t>оптимизации расходов на функционирование органов местного самоуправления;</w:t>
      </w:r>
    </w:p>
    <w:p w:rsidR="00020BC8" w:rsidRDefault="0007660D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BC8" w:rsidRPr="00020BC8">
        <w:rPr>
          <w:rFonts w:ascii="Times New Roman" w:hAnsi="Times New Roman" w:cs="Times New Roman"/>
          <w:sz w:val="28"/>
          <w:szCs w:val="28"/>
        </w:rPr>
        <w:t xml:space="preserve">оптимизации прочих расходов бюджета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020BC8" w:rsidRPr="00020BC8">
        <w:rPr>
          <w:rFonts w:ascii="Times New Roman" w:hAnsi="Times New Roman" w:cs="Times New Roman"/>
          <w:sz w:val="28"/>
          <w:szCs w:val="28"/>
        </w:rPr>
        <w:t>а;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C8" w:rsidRPr="00020BC8" w:rsidRDefault="00020BC8" w:rsidP="00020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3.</w:t>
      </w:r>
      <w:r w:rsidRPr="00020BC8">
        <w:rPr>
          <w:rFonts w:ascii="Times New Roman" w:hAnsi="Times New Roman" w:cs="Times New Roman"/>
          <w:sz w:val="28"/>
          <w:szCs w:val="28"/>
        </w:rPr>
        <w:tab/>
        <w:t>Основные направления реализации Программы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3.1.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Программа содержит План мероприятий, направленный на оздоровление муниципальных финансов </w:t>
      </w:r>
      <w:r w:rsidR="0007660D" w:rsidRPr="0007660D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020BC8">
        <w:rPr>
          <w:rFonts w:ascii="Times New Roman" w:hAnsi="Times New Roman" w:cs="Times New Roman"/>
          <w:sz w:val="28"/>
          <w:szCs w:val="28"/>
        </w:rPr>
        <w:tab/>
        <w:t>План мероприятий реализуется по следующим направлениям: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а)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увеличение поступлений налоговых и неналоговых доходов бюджета </w:t>
      </w:r>
      <w:r w:rsidR="0007660D">
        <w:rPr>
          <w:rFonts w:ascii="Times New Roman" w:hAnsi="Times New Roman" w:cs="Times New Roman"/>
          <w:sz w:val="28"/>
          <w:szCs w:val="28"/>
        </w:rPr>
        <w:t>город</w:t>
      </w:r>
      <w:r w:rsidRPr="00020BC8">
        <w:rPr>
          <w:rFonts w:ascii="Times New Roman" w:hAnsi="Times New Roman" w:cs="Times New Roman"/>
          <w:sz w:val="28"/>
          <w:szCs w:val="28"/>
        </w:rPr>
        <w:t>а;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б)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расходов бюджета </w:t>
      </w:r>
      <w:r w:rsidR="0007660D">
        <w:rPr>
          <w:rFonts w:ascii="Times New Roman" w:hAnsi="Times New Roman" w:cs="Times New Roman"/>
          <w:sz w:val="28"/>
          <w:szCs w:val="28"/>
        </w:rPr>
        <w:t>город</w:t>
      </w:r>
      <w:r w:rsidRPr="00020BC8">
        <w:rPr>
          <w:rFonts w:ascii="Times New Roman" w:hAnsi="Times New Roman" w:cs="Times New Roman"/>
          <w:sz w:val="28"/>
          <w:szCs w:val="28"/>
        </w:rPr>
        <w:t>а (оптимизация</w:t>
      </w:r>
      <w:r w:rsidR="00183056">
        <w:rPr>
          <w:rFonts w:ascii="Times New Roman" w:hAnsi="Times New Roman" w:cs="Times New Roman"/>
          <w:sz w:val="28"/>
          <w:szCs w:val="28"/>
        </w:rPr>
        <w:t xml:space="preserve"> </w:t>
      </w:r>
      <w:r w:rsidRPr="00020BC8">
        <w:rPr>
          <w:rFonts w:ascii="Times New Roman" w:hAnsi="Times New Roman" w:cs="Times New Roman"/>
          <w:sz w:val="28"/>
          <w:szCs w:val="28"/>
        </w:rPr>
        <w:t>расходов);</w:t>
      </w:r>
    </w:p>
    <w:p w:rsid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3.3.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Данные направления будут реализовываться в рамках плана мероприятий по оздоровлению муниципальных финансов </w:t>
      </w:r>
      <w:r w:rsidR="0007660D" w:rsidRPr="0007660D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 xml:space="preserve"> на период 2021 - 2023 годов согласно приложению №1 к настоящей Программе.</w:t>
      </w:r>
    </w:p>
    <w:p w:rsidR="00183056" w:rsidRPr="00020BC8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C8" w:rsidRPr="00020BC8" w:rsidRDefault="00020BC8" w:rsidP="0018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4.</w:t>
      </w:r>
      <w:r w:rsidRPr="00020BC8">
        <w:rPr>
          <w:rFonts w:ascii="Times New Roman" w:hAnsi="Times New Roman" w:cs="Times New Roman"/>
          <w:sz w:val="28"/>
          <w:szCs w:val="28"/>
        </w:rPr>
        <w:tab/>
        <w:t>Характеристика текущего состояния муниципальных финансов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4.1.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Современное состояние бюджетной системы </w:t>
      </w:r>
      <w:r w:rsidR="006341AE" w:rsidRPr="006341AE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 xml:space="preserve"> оценивается как стабильное, характеризуется проведением оптимизацией бюджетных расходов на муниципальное управление, концентрацией ресурсов на приоритетных направлениях деятельности (мероприятий по реализации указов Президента Российской Федерации, муниципальных программ и мероприятий с привлечением средств из республиканского бюджета).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4.2.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В целях оздоровления муниципальных финансов </w:t>
      </w:r>
      <w:r w:rsidR="006341AE">
        <w:rPr>
          <w:rFonts w:ascii="Times New Roman" w:hAnsi="Times New Roman" w:cs="Times New Roman"/>
          <w:sz w:val="28"/>
          <w:szCs w:val="28"/>
        </w:rPr>
        <w:t>городск</w:t>
      </w:r>
      <w:r w:rsidRPr="00020BC8">
        <w:rPr>
          <w:rFonts w:ascii="Times New Roman" w:hAnsi="Times New Roman" w:cs="Times New Roman"/>
          <w:sz w:val="28"/>
          <w:szCs w:val="28"/>
        </w:rPr>
        <w:t>ого бюджета: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а)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проводились мероприятия по оптимизации расходов на содержание органа местного самоуправления и обеспечение соблюдения запрета на увеличение численности муниципальных служащих </w:t>
      </w:r>
      <w:r w:rsidR="006341AE">
        <w:rPr>
          <w:rFonts w:ascii="Times New Roman" w:hAnsi="Times New Roman" w:cs="Times New Roman"/>
          <w:sz w:val="28"/>
          <w:szCs w:val="28"/>
        </w:rPr>
        <w:t>ОМС «Администрация г.Карабулак»</w:t>
      </w:r>
      <w:r w:rsidRPr="00020BC8">
        <w:rPr>
          <w:rFonts w:ascii="Times New Roman" w:hAnsi="Times New Roman" w:cs="Times New Roman"/>
          <w:sz w:val="28"/>
          <w:szCs w:val="28"/>
        </w:rPr>
        <w:t>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б)</w:t>
      </w:r>
      <w:r w:rsidRPr="00020BC8">
        <w:rPr>
          <w:rFonts w:ascii="Times New Roman" w:hAnsi="Times New Roman" w:cs="Times New Roman"/>
          <w:sz w:val="28"/>
          <w:szCs w:val="28"/>
        </w:rPr>
        <w:tab/>
        <w:t>усиление ответственности учреждений по расходованию средств бюджета.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4.3.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Вместе с тем, в сфере обеспечения финансовой устойчивости </w:t>
      </w:r>
      <w:r w:rsidR="00507631">
        <w:rPr>
          <w:rFonts w:ascii="Times New Roman" w:hAnsi="Times New Roman" w:cs="Times New Roman"/>
          <w:sz w:val="28"/>
          <w:szCs w:val="28"/>
        </w:rPr>
        <w:t>города</w:t>
      </w:r>
      <w:r w:rsidRPr="00020BC8">
        <w:rPr>
          <w:rFonts w:ascii="Times New Roman" w:hAnsi="Times New Roman" w:cs="Times New Roman"/>
          <w:sz w:val="28"/>
          <w:szCs w:val="28"/>
        </w:rPr>
        <w:t xml:space="preserve"> ключевыми проблемами являются следующие: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а)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недостаточность объема поступлений налоговых и неналоговых доходов для решения задач социально-экономического развития </w:t>
      </w:r>
      <w:r w:rsidR="00507631">
        <w:rPr>
          <w:rFonts w:ascii="Times New Roman" w:hAnsi="Times New Roman" w:cs="Times New Roman"/>
          <w:sz w:val="28"/>
          <w:szCs w:val="28"/>
        </w:rPr>
        <w:t>города</w:t>
      </w:r>
      <w:r w:rsidRPr="00020BC8">
        <w:rPr>
          <w:rFonts w:ascii="Times New Roman" w:hAnsi="Times New Roman" w:cs="Times New Roman"/>
          <w:sz w:val="28"/>
          <w:szCs w:val="28"/>
        </w:rPr>
        <w:t>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б)</w:t>
      </w:r>
      <w:r w:rsidRPr="00020BC8">
        <w:rPr>
          <w:rFonts w:ascii="Times New Roman" w:hAnsi="Times New Roman" w:cs="Times New Roman"/>
          <w:sz w:val="28"/>
          <w:szCs w:val="28"/>
        </w:rPr>
        <w:tab/>
        <w:t>увеличение роста расходных обязательств над уровнем доходов бюджета;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в)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наличие задолженности налогоплательщиков по налоговым и неналоговым доходам, поступающим в бюджет </w:t>
      </w:r>
      <w:r w:rsidR="00507631">
        <w:rPr>
          <w:rFonts w:ascii="Times New Roman" w:hAnsi="Times New Roman" w:cs="Times New Roman"/>
          <w:sz w:val="28"/>
          <w:szCs w:val="28"/>
        </w:rPr>
        <w:t>город</w:t>
      </w:r>
      <w:r w:rsidRPr="00020BC8">
        <w:rPr>
          <w:rFonts w:ascii="Times New Roman" w:hAnsi="Times New Roman" w:cs="Times New Roman"/>
          <w:sz w:val="28"/>
          <w:szCs w:val="28"/>
        </w:rPr>
        <w:t>а.</w:t>
      </w:r>
    </w:p>
    <w:p w:rsid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4.4.</w:t>
      </w:r>
      <w:r w:rsidRPr="00020BC8">
        <w:rPr>
          <w:rFonts w:ascii="Times New Roman" w:hAnsi="Times New Roman" w:cs="Times New Roman"/>
          <w:sz w:val="28"/>
          <w:szCs w:val="28"/>
        </w:rPr>
        <w:tab/>
        <w:t>Для стабилизации ситуации в бюджетной сфере муниципального о</w:t>
      </w:r>
      <w:r w:rsidR="00507631">
        <w:rPr>
          <w:rFonts w:ascii="Times New Roman" w:hAnsi="Times New Roman" w:cs="Times New Roman"/>
          <w:sz w:val="28"/>
          <w:szCs w:val="28"/>
        </w:rPr>
        <w:t>бразования необходимо в кратчайш</w:t>
      </w:r>
      <w:r w:rsidRPr="00020BC8">
        <w:rPr>
          <w:rFonts w:ascii="Times New Roman" w:hAnsi="Times New Roman" w:cs="Times New Roman"/>
          <w:sz w:val="28"/>
          <w:szCs w:val="28"/>
        </w:rPr>
        <w:t>ие сроки определить возможные действия, которые позволят сдержать рост расходов и при непрерывной работе по мобилизации доходной базы.</w:t>
      </w:r>
    </w:p>
    <w:p w:rsidR="00183056" w:rsidRPr="00020BC8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C8" w:rsidRPr="00020BC8" w:rsidRDefault="00020BC8" w:rsidP="0018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5.</w:t>
      </w:r>
      <w:r w:rsidRPr="00020BC8"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5.1. Реализация программы позволит: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а)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оздоровить муниципальные финансы </w:t>
      </w:r>
      <w:r w:rsidR="00507631" w:rsidRPr="00507631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>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t>б)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укрепить устойчивость бюджетной системы </w:t>
      </w:r>
      <w:r w:rsidR="007C7219" w:rsidRPr="007C7219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>;</w:t>
      </w:r>
    </w:p>
    <w:p w:rsidR="00020BC8" w:rsidRPr="00020BC8" w:rsidRDefault="00020BC8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C8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020BC8">
        <w:rPr>
          <w:rFonts w:ascii="Times New Roman" w:hAnsi="Times New Roman" w:cs="Times New Roman"/>
          <w:sz w:val="28"/>
          <w:szCs w:val="28"/>
        </w:rPr>
        <w:tab/>
        <w:t xml:space="preserve">повысить качество управления муниципальными финансами </w:t>
      </w:r>
      <w:r w:rsidR="007C7219" w:rsidRPr="007C7219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Pr="00020BC8">
        <w:rPr>
          <w:rFonts w:ascii="Times New Roman" w:hAnsi="Times New Roman" w:cs="Times New Roman"/>
          <w:sz w:val="28"/>
          <w:szCs w:val="28"/>
        </w:rPr>
        <w:t>, эффективность и результативность осуществления бюджетных расходов.</w:t>
      </w:r>
    </w:p>
    <w:p w:rsidR="00BB63BB" w:rsidRDefault="007C7219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BC8" w:rsidRPr="00020BC8">
        <w:rPr>
          <w:rFonts w:ascii="Times New Roman" w:hAnsi="Times New Roman" w:cs="Times New Roman"/>
          <w:sz w:val="28"/>
          <w:szCs w:val="28"/>
        </w:rPr>
        <w:t xml:space="preserve">Результаты оценки реализации программы ежегодно, до 10 апреля года, следующего за отчетным, представляются ГУ </w:t>
      </w:r>
      <w:r>
        <w:rPr>
          <w:rFonts w:ascii="Times New Roman" w:hAnsi="Times New Roman" w:cs="Times New Roman"/>
          <w:sz w:val="28"/>
          <w:szCs w:val="28"/>
        </w:rPr>
        <w:t>«Карабулак</w:t>
      </w:r>
      <w:r w:rsidR="00020BC8" w:rsidRPr="00020BC8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020BC8" w:rsidRPr="00020BC8">
        <w:rPr>
          <w:rFonts w:ascii="Times New Roman" w:hAnsi="Times New Roman" w:cs="Times New Roman"/>
          <w:sz w:val="28"/>
          <w:szCs w:val="28"/>
        </w:rPr>
        <w:t xml:space="preserve"> финансовое</w:t>
      </w:r>
      <w:r w:rsidR="00183056" w:rsidRPr="00183056">
        <w:t xml:space="preserve"> </w:t>
      </w:r>
      <w:r w:rsidR="00183056" w:rsidRPr="0018305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83056" w:rsidRPr="00183056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791FB9" w:rsidRPr="00791FB9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="00791FB9">
        <w:rPr>
          <w:rFonts w:ascii="Times New Roman" w:hAnsi="Times New Roman" w:cs="Times New Roman"/>
          <w:sz w:val="28"/>
          <w:szCs w:val="28"/>
        </w:rPr>
        <w:t xml:space="preserve"> </w:t>
      </w:r>
      <w:r w:rsidR="00183056" w:rsidRPr="00183056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настоящей Программе.</w:t>
      </w: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02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7F" w:rsidRDefault="00183056" w:rsidP="0018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7747F" w:rsidRDefault="00183056" w:rsidP="0018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 xml:space="preserve">к программе оздоровления </w:t>
      </w:r>
    </w:p>
    <w:p w:rsidR="0097747F" w:rsidRDefault="00183056" w:rsidP="0018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 xml:space="preserve">муниципальных финансов </w:t>
      </w:r>
    </w:p>
    <w:p w:rsidR="0097747F" w:rsidRDefault="0097747F" w:rsidP="0018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747F" w:rsidRDefault="0097747F" w:rsidP="0018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47F">
        <w:rPr>
          <w:rFonts w:ascii="Times New Roman" w:hAnsi="Times New Roman" w:cs="Times New Roman"/>
          <w:sz w:val="28"/>
          <w:szCs w:val="28"/>
        </w:rPr>
        <w:t>«Городской округ город Карабулак»</w:t>
      </w:r>
      <w:r w:rsidR="00183056" w:rsidRPr="001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56" w:rsidRPr="00183056" w:rsidRDefault="00183056" w:rsidP="0018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на 2021 -2023 годы</w:t>
      </w:r>
    </w:p>
    <w:p w:rsidR="0097747F" w:rsidRDefault="0097747F" w:rsidP="0018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DF" w:rsidRDefault="00CF26DF" w:rsidP="0018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88" w:rsidRDefault="00474788" w:rsidP="0018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88" w:rsidRDefault="00474788" w:rsidP="0018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Pr="00183056" w:rsidRDefault="00183056" w:rsidP="00977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56">
        <w:rPr>
          <w:rFonts w:ascii="Times New Roman" w:hAnsi="Times New Roman" w:cs="Times New Roman"/>
          <w:sz w:val="28"/>
          <w:szCs w:val="28"/>
        </w:rPr>
        <w:t>План мероприятий по оздоровлению муниципальных финансов бюджета</w:t>
      </w:r>
    </w:p>
    <w:p w:rsidR="00183056" w:rsidRDefault="00791FB9" w:rsidP="00CF2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FB9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Карабулак»</w:t>
      </w:r>
      <w:r w:rsidR="00183056" w:rsidRPr="00183056">
        <w:rPr>
          <w:rFonts w:ascii="Times New Roman" w:hAnsi="Times New Roman" w:cs="Times New Roman"/>
          <w:sz w:val="28"/>
          <w:szCs w:val="28"/>
        </w:rPr>
        <w:t xml:space="preserve"> на 2021-2023 годы</w:t>
      </w:r>
    </w:p>
    <w:p w:rsidR="00CF26DF" w:rsidRDefault="00CF26DF" w:rsidP="00CF2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788" w:rsidRDefault="00474788" w:rsidP="00CF2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788" w:rsidRDefault="00474788" w:rsidP="00CF2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531"/>
        <w:gridCol w:w="10"/>
        <w:gridCol w:w="8"/>
        <w:gridCol w:w="2250"/>
        <w:gridCol w:w="10"/>
        <w:gridCol w:w="6"/>
        <w:gridCol w:w="1844"/>
        <w:gridCol w:w="709"/>
        <w:gridCol w:w="6"/>
        <w:gridCol w:w="848"/>
        <w:gridCol w:w="6"/>
        <w:gridCol w:w="703"/>
        <w:gridCol w:w="57"/>
        <w:gridCol w:w="10"/>
      </w:tblGrid>
      <w:tr w:rsidR="00CF26DF" w:rsidRPr="00CD1C89" w:rsidTr="00BB62F7">
        <w:trPr>
          <w:gridAfter w:val="2"/>
          <w:wAfter w:w="67" w:type="dxa"/>
          <w:trHeight w:hRule="exact" w:val="28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F7" w:rsidRDefault="00BB62F7" w:rsidP="00BB62F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CF26DF" w:rsidRPr="00CF26DF" w:rsidRDefault="00CF26DF" w:rsidP="00BB62F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5B69C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Финансовая оценка</w:t>
            </w:r>
          </w:p>
        </w:tc>
      </w:tr>
      <w:tr w:rsidR="00CF26DF" w:rsidRPr="00CD1C89" w:rsidTr="00BB62F7">
        <w:trPr>
          <w:gridAfter w:val="2"/>
          <w:wAfter w:w="67" w:type="dxa"/>
          <w:trHeight w:hRule="exact" w:val="293"/>
        </w:trPr>
        <w:tc>
          <w:tcPr>
            <w:tcW w:w="7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6DF" w:rsidRPr="00CF26DF" w:rsidRDefault="00CF26DF" w:rsidP="00CF26D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2023</w:t>
            </w:r>
          </w:p>
        </w:tc>
      </w:tr>
      <w:tr w:rsidR="007E16CB" w:rsidRPr="00CD1C89" w:rsidTr="005B69C5">
        <w:trPr>
          <w:gridAfter w:val="2"/>
          <w:wAfter w:w="67" w:type="dxa"/>
          <w:trHeight w:hRule="exact" w:val="345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6DF" w:rsidRPr="00CF26DF" w:rsidRDefault="00CF26DF" w:rsidP="00CF26D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Раздел 1. Меры по увеличению поступлений налоговых и неналоговых доходов</w:t>
            </w:r>
          </w:p>
        </w:tc>
      </w:tr>
      <w:tr w:rsidR="00CF26DF" w:rsidRPr="00CD1C89" w:rsidTr="005B69C5">
        <w:trPr>
          <w:gridAfter w:val="2"/>
          <w:wAfter w:w="67" w:type="dxa"/>
          <w:trHeight w:hRule="exact" w:val="25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темпа роста налоговых и неналоговых доходов к уровню предыдущего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5B69C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органы местного самоуправления. Межрайонная инспекция ФНС России№2 по РИ, </w:t>
            </w:r>
            <w:r w:rsidR="005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Карабулак</w:t>
            </w: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ское</w:t>
            </w:r>
            <w:r w:rsidR="005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городское </w:t>
            </w: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финансовое управление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</w:t>
            </w:r>
          </w:p>
          <w:p w:rsidR="00CF26DF" w:rsidRPr="00CF26DF" w:rsidRDefault="00CF26DF" w:rsidP="00CF26D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менее</w:t>
            </w:r>
          </w:p>
          <w:p w:rsidR="00CF26DF" w:rsidRPr="00CF26DF" w:rsidRDefault="00CF26DF" w:rsidP="00CF26D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</w:t>
            </w:r>
          </w:p>
          <w:p w:rsidR="00CF26DF" w:rsidRPr="00CF26DF" w:rsidRDefault="00CF26DF" w:rsidP="00CF26D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менее</w:t>
            </w:r>
          </w:p>
          <w:p w:rsidR="00CF26DF" w:rsidRPr="00CF26DF" w:rsidRDefault="00CF26DF" w:rsidP="00CF26DF">
            <w:pPr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</w:t>
            </w:r>
          </w:p>
          <w:p w:rsidR="00CF26DF" w:rsidRPr="00CF26DF" w:rsidRDefault="00CF26DF" w:rsidP="00CF26D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менее</w:t>
            </w:r>
          </w:p>
          <w:p w:rsidR="00CF26DF" w:rsidRPr="00CF26DF" w:rsidRDefault="00CF26DF" w:rsidP="00CF26D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105,0</w:t>
            </w:r>
          </w:p>
        </w:tc>
      </w:tr>
      <w:tr w:rsidR="00CF26DF" w:rsidRPr="00CD1C89" w:rsidTr="00BB62F7">
        <w:trPr>
          <w:gridAfter w:val="2"/>
          <w:wAfter w:w="67" w:type="dxa"/>
          <w:trHeight w:hRule="exact" w:val="22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мероприятий, направленных на увеличение поступлений доходов от использования муниципального имущества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органы местного самоуправления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</w:tr>
      <w:tr w:rsidR="00CF26DF" w:rsidRPr="00CD1C89" w:rsidTr="00BB62F7">
        <w:trPr>
          <w:gridAfter w:val="2"/>
          <w:wAfter w:w="67" w:type="dxa"/>
          <w:trHeight w:hRule="exact" w:val="255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</w:t>
            </w:r>
          </w:p>
          <w:p w:rsidR="00CF26DF" w:rsidRPr="00CF26DF" w:rsidRDefault="00CF26DF" w:rsidP="00C1517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индивидуальной работы с налогоплательщиками, имеющих недоимку по платежам в бюджет </w:t>
            </w:r>
            <w:r w:rsidR="00C1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города</w:t>
            </w: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в рамках совместных мероприятий с ИФНС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комиссия по легализации объектов налогообложения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</w:tr>
      <w:tr w:rsidR="00CF26DF" w:rsidRPr="00CD1C89" w:rsidTr="00BB62F7">
        <w:trPr>
          <w:gridAfter w:val="2"/>
          <w:wAfter w:w="67" w:type="dxa"/>
          <w:trHeight w:hRule="exact" w:val="198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1.4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мероприятий по сокращению неформальной занятости и легализации трудовых </w:t>
            </w:r>
            <w:r w:rsidR="009703F8"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отнош</w:t>
            </w: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рабочая группа по снижению неформальной занятости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</w:tr>
      <w:tr w:rsidR="00CF26DF" w:rsidRPr="00CD1C89" w:rsidTr="00C15175">
        <w:trPr>
          <w:gridAfter w:val="2"/>
          <w:wAfter w:w="67" w:type="dxa"/>
          <w:trHeight w:hRule="exact" w:val="28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1517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Постановка на налоговый учет обособленных подразделений предприятий, работающих на территории </w:t>
            </w:r>
            <w:r w:rsidR="00C1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Карабулак</w:t>
            </w: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с целью перечисления ими НДФЛ в бюджет </w:t>
            </w:r>
            <w:r w:rsidR="00C1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</w:t>
            </w: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органы местного самоуправления. Межрайонная инспекция ФНС России № 2 по РИ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</w:tr>
      <w:tr w:rsidR="00CF26DF" w:rsidRPr="00CD1C89" w:rsidTr="00BB62F7">
        <w:trPr>
          <w:gridAfter w:val="2"/>
          <w:wAfter w:w="67" w:type="dxa"/>
          <w:trHeight w:hRule="exact" w:val="28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6DF" w:rsidRPr="00CF26DF" w:rsidRDefault="00CF26DF" w:rsidP="00CF26D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мероприятий с целью выявления собственников неиспользуемых земельных участков и другого недвижимого имущества и привлечение их к</w:t>
            </w:r>
            <w:r w:rsidR="00715E86" w:rsidRPr="00CD1C89">
              <w:rPr>
                <w:rStyle w:val="212pt"/>
                <w:rFonts w:eastAsiaTheme="minorHAnsi"/>
              </w:rPr>
              <w:t xml:space="preserve"> налогообложению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органы местного самоуправления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DF" w:rsidRPr="00CF26DF" w:rsidRDefault="00CF26DF" w:rsidP="00CF26D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</w:tc>
      </w:tr>
      <w:tr w:rsidR="00504D23" w:rsidRPr="00CD1C89" w:rsidTr="00BB62F7">
        <w:trPr>
          <w:trHeight w:hRule="exact" w:val="1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1.7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Пересмотр установленного потенциально возможного годового дохода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 xml:space="preserve">органы местного самоуправления, </w:t>
            </w:r>
            <w:r w:rsidR="007D6681" w:rsidRPr="007D6681">
              <w:rPr>
                <w:rStyle w:val="212pt"/>
              </w:rPr>
              <w:t>Карабулакское городское финансовое управление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ежеквартально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504D2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4D23" w:rsidRPr="00CD1C89" w:rsidTr="00BB62F7">
        <w:trPr>
          <w:trHeight w:hRule="exact" w:val="110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1.8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D23" w:rsidRPr="00CD1C89" w:rsidRDefault="00504D23" w:rsidP="007D668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 xml:space="preserve">Проведение работы по зачислению в бюджет </w:t>
            </w:r>
            <w:r w:rsidR="007D6681">
              <w:rPr>
                <w:rStyle w:val="212pt"/>
              </w:rPr>
              <w:t>город</w:t>
            </w:r>
            <w:r w:rsidRPr="00CD1C89">
              <w:rPr>
                <w:rStyle w:val="212pt"/>
              </w:rPr>
              <w:t>а невыясненных поступлений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D23" w:rsidRPr="00CD1C89" w:rsidRDefault="007D6681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D6681">
              <w:rPr>
                <w:rStyle w:val="212pt"/>
              </w:rPr>
              <w:t>Карабулакское городское финансовое управление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в течение года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504D2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4D23" w:rsidRPr="00CD1C89" w:rsidTr="00BB62F7">
        <w:trPr>
          <w:trHeight w:hRule="exact" w:val="16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1.9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Отмена неэффективных льгот, установленных нормативно-правовыми актами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 xml:space="preserve">органы </w:t>
            </w:r>
            <w:r w:rsidR="007D6681">
              <w:rPr>
                <w:rStyle w:val="212pt"/>
              </w:rPr>
              <w:t>местного самоуправления,</w:t>
            </w:r>
            <w:r w:rsidRPr="00CD1C89">
              <w:rPr>
                <w:rStyle w:val="212pt"/>
              </w:rPr>
              <w:t xml:space="preserve"> </w:t>
            </w:r>
            <w:r w:rsidR="007D6681" w:rsidRPr="007D6681">
              <w:rPr>
                <w:rStyle w:val="212pt"/>
              </w:rPr>
              <w:t>Карабулакское городское финансовое управление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ежегодно до 1 апреля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504D2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4D23" w:rsidRPr="00CD1C89" w:rsidTr="00BB62F7">
        <w:trPr>
          <w:trHeight w:hRule="exact" w:val="17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60" w:line="240" w:lineRule="exact"/>
              <w:ind w:left="20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1.1</w:t>
            </w:r>
            <w:r w:rsidR="007E16CB" w:rsidRPr="00CD1C89">
              <w:rPr>
                <w:rStyle w:val="212pt"/>
              </w:rPr>
              <w:t>0</w:t>
            </w:r>
          </w:p>
          <w:p w:rsidR="00504D23" w:rsidRPr="00CD1C89" w:rsidRDefault="00504D23" w:rsidP="00FA0891">
            <w:pPr>
              <w:pStyle w:val="20"/>
              <w:shd w:val="clear" w:color="auto" w:fill="auto"/>
              <w:spacing w:before="60" w:after="0" w:line="240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Заключение соглашения по</w:t>
            </w:r>
            <w:r w:rsidR="00BC45BA" w:rsidRPr="00CD1C89">
              <w:rPr>
                <w:sz w:val="24"/>
                <w:szCs w:val="24"/>
              </w:rPr>
              <w:t xml:space="preserve"> </w:t>
            </w:r>
            <w:r w:rsidRPr="00CD1C89">
              <w:rPr>
                <w:rStyle w:val="212pt"/>
              </w:rPr>
              <w:t>информационному</w:t>
            </w:r>
          </w:p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взаимодействию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D23" w:rsidRPr="00CD1C89" w:rsidRDefault="00474788" w:rsidP="00FA0891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межрайонная инспекция ФНС России№2 по РИ,</w:t>
            </w:r>
            <w:r w:rsidR="00504D23" w:rsidRPr="00CD1C89">
              <w:rPr>
                <w:rStyle w:val="212pt"/>
              </w:rPr>
              <w:t xml:space="preserve"> </w:t>
            </w:r>
            <w:r w:rsidR="007D6681" w:rsidRPr="007D6681">
              <w:rPr>
                <w:rStyle w:val="212pt"/>
              </w:rPr>
              <w:t>Карабулакское городское финансовое управление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ежегодно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504D2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4D23" w:rsidRPr="00CD1C89" w:rsidTr="00BB62F7">
        <w:trPr>
          <w:gridAfter w:val="1"/>
          <w:wAfter w:w="10" w:type="dxa"/>
          <w:trHeight w:hRule="exact" w:val="300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1pt"/>
                <w:sz w:val="24"/>
                <w:szCs w:val="24"/>
              </w:rPr>
              <w:t>Раздел 2. Меры по повышению эффективности расходов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D23" w:rsidRPr="00CD1C89" w:rsidRDefault="00504D23" w:rsidP="00504D2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2595" w:rsidRPr="00CD1C89" w:rsidTr="00BB62F7">
        <w:trPr>
          <w:gridAfter w:val="1"/>
          <w:wAfter w:w="10" w:type="dxa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595" w:rsidRPr="00CD1C89" w:rsidRDefault="004B2595" w:rsidP="00FA0891">
            <w:pPr>
              <w:pStyle w:val="20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595" w:rsidRPr="00CD1C89" w:rsidRDefault="004B2595" w:rsidP="00504D2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4D23" w:rsidRPr="00CD1C89" w:rsidTr="00474788">
        <w:trPr>
          <w:gridAfter w:val="1"/>
          <w:wAfter w:w="10" w:type="dxa"/>
          <w:trHeight w:hRule="exact" w:val="35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lastRenderedPageBreak/>
              <w:t>2.1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Инвентаризация расходных полномочий с целью установления расходных обязательств не связанных с решением вопросов, отнесенных Конституцией России и федеральными законами к полномочиям органов местного самоуправления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474788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 xml:space="preserve">главные распорядители средств </w:t>
            </w:r>
            <w:r w:rsidR="00474788">
              <w:rPr>
                <w:rStyle w:val="212pt"/>
              </w:rPr>
              <w:t>городск</w:t>
            </w:r>
            <w:r w:rsidRPr="00CD1C89">
              <w:rPr>
                <w:rStyle w:val="212pt"/>
              </w:rPr>
              <w:t>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6E5F0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504D2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4D23" w:rsidRPr="00CD1C89" w:rsidTr="00BB62F7">
        <w:trPr>
          <w:gridAfter w:val="1"/>
          <w:wAfter w:w="10" w:type="dxa"/>
          <w:trHeight w:hRule="exact" w:val="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pacing w:before="0" w:after="0" w:line="240" w:lineRule="exact"/>
              <w:ind w:left="180"/>
              <w:jc w:val="left"/>
              <w:rPr>
                <w:rStyle w:val="212pt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D23" w:rsidRPr="00CD1C89" w:rsidRDefault="00504D23" w:rsidP="00FA0891">
            <w:pPr>
              <w:pStyle w:val="20"/>
              <w:spacing w:before="0" w:after="0" w:line="274" w:lineRule="exact"/>
              <w:jc w:val="left"/>
              <w:rPr>
                <w:rStyle w:val="212pt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6E5F0F">
            <w:pPr>
              <w:pStyle w:val="20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6E5F0F">
            <w:pPr>
              <w:pStyle w:val="20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pacing w:before="0" w:after="0" w:line="240" w:lineRule="exact"/>
              <w:jc w:val="center"/>
              <w:rPr>
                <w:rStyle w:val="212pt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D23" w:rsidRPr="00CD1C89" w:rsidRDefault="00504D23" w:rsidP="00FA0891">
            <w:pPr>
              <w:pStyle w:val="20"/>
              <w:spacing w:before="0" w:after="0" w:line="240" w:lineRule="exact"/>
              <w:jc w:val="center"/>
              <w:rPr>
                <w:rStyle w:val="212pt"/>
              </w:rPr>
            </w:pPr>
          </w:p>
        </w:tc>
      </w:tr>
      <w:tr w:rsidR="0046239F" w:rsidRPr="00CD1C89" w:rsidTr="00BB62F7">
        <w:trPr>
          <w:gridAfter w:val="2"/>
          <w:wAfter w:w="67" w:type="dxa"/>
          <w:trHeight w:hRule="exact" w:val="1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3E0B3F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2.2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Обеспечение соблюдения норматива расходов на содержание органов местного самоуправления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6E5F0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органы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6E5F0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46239F" w:rsidRPr="00CD1C89" w:rsidTr="00BB62F7">
        <w:trPr>
          <w:gridAfter w:val="2"/>
          <w:wAfter w:w="67" w:type="dxa"/>
          <w:trHeight w:hRule="exact" w:val="24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3E0B3F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2.3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891" w:rsidRPr="00CD1C89" w:rsidRDefault="00232784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Размещ</w:t>
            </w:r>
            <w:r w:rsidR="00FA0891" w:rsidRPr="00CD1C89">
              <w:rPr>
                <w:rStyle w:val="212pt"/>
              </w:rPr>
              <w:t>ение заказов на поставки товаров, выполнение работ, оказание услуг для муниципальных нужд на конкурсной основе: открытые конкурсы,</w:t>
            </w:r>
            <w:r w:rsidR="003E0B3F" w:rsidRPr="00CD1C89">
              <w:rPr>
                <w:rStyle w:val="212pt"/>
              </w:rPr>
              <w:t xml:space="preserve"> </w:t>
            </w:r>
            <w:r w:rsidR="00FA0891" w:rsidRPr="00CD1C89">
              <w:rPr>
                <w:rStyle w:val="212pt"/>
              </w:rPr>
              <w:t>аукционы, запросы котировок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232784">
            <w:pPr>
              <w:pStyle w:val="20"/>
              <w:shd w:val="clear" w:color="auto" w:fill="auto"/>
              <w:spacing w:before="0" w:after="0" w:line="245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 xml:space="preserve">отдел экономики </w:t>
            </w:r>
            <w:r w:rsidR="00232784">
              <w:rPr>
                <w:rStyle w:val="212pt"/>
              </w:rPr>
              <w:t>, торговли и сельского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6E5F0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46239F" w:rsidRPr="00CD1C89" w:rsidTr="00BB62F7">
        <w:trPr>
          <w:gridAfter w:val="2"/>
          <w:wAfter w:w="67" w:type="dxa"/>
          <w:trHeight w:hRule="exact" w:val="17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91" w:rsidRPr="00CD1C89" w:rsidRDefault="003E0B3F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2.4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Увеличение доходов от предпринимательской и иной приносящей доход деятельности</w:t>
            </w:r>
            <w:r w:rsidR="003E0B3F" w:rsidRPr="00CD1C89">
              <w:rPr>
                <w:sz w:val="24"/>
                <w:szCs w:val="24"/>
              </w:rPr>
              <w:t xml:space="preserve"> </w:t>
            </w:r>
            <w:r w:rsidR="003E0B3F" w:rsidRPr="00CD1C89">
              <w:rPr>
                <w:rStyle w:val="212pt"/>
              </w:rPr>
              <w:t>муниципальных бюджетных учреждений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891" w:rsidRPr="00CD1C89" w:rsidRDefault="00FA0891" w:rsidP="00FD45F9">
            <w:pPr>
              <w:pStyle w:val="20"/>
              <w:shd w:val="clear" w:color="auto" w:fill="auto"/>
              <w:spacing w:before="0" w:after="0" w:line="278" w:lineRule="exact"/>
              <w:ind w:firstLine="520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учрежден</w:t>
            </w:r>
            <w:r w:rsidR="00FD45F9">
              <w:rPr>
                <w:rStyle w:val="212pt"/>
              </w:rPr>
              <w:t>ия физической культуры и спорта,</w:t>
            </w:r>
            <w:r w:rsidRPr="00CD1C89">
              <w:rPr>
                <w:rStyle w:val="212pt"/>
              </w:rPr>
              <w:t xml:space="preserve"> газета «</w:t>
            </w:r>
            <w:r w:rsidR="00FD45F9">
              <w:rPr>
                <w:rStyle w:val="212pt"/>
              </w:rPr>
              <w:t>Керда Ха</w:t>
            </w:r>
            <w:r w:rsidR="006F5676" w:rsidRPr="00CD1C89">
              <w:rPr>
                <w:rStyle w:val="212pt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91" w:rsidRPr="00CD1C89" w:rsidRDefault="00FA0891" w:rsidP="006E5F0F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891" w:rsidRPr="00CD1C89" w:rsidRDefault="00FA0891" w:rsidP="00FA0891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6F5676" w:rsidRPr="00CD1C89" w:rsidTr="00BB62F7">
        <w:trPr>
          <w:gridAfter w:val="2"/>
          <w:wAfter w:w="67" w:type="dxa"/>
          <w:trHeight w:hRule="exact" w:val="46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6F5676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rStyle w:val="212pt"/>
              </w:rPr>
            </w:pPr>
            <w:r w:rsidRPr="00CD1C89">
              <w:rPr>
                <w:rStyle w:val="212pt"/>
              </w:rPr>
              <w:t>2.5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676" w:rsidRPr="00CD1C89" w:rsidRDefault="006F5676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CD1C89">
              <w:rPr>
                <w:rStyle w:val="212pt"/>
              </w:rPr>
              <w:t>Недопущение образования просроченной кредиторской задолженности в части расходов на оплату труда, уплату взносов по обязательному социальному страхованию на выплаты денежного содержания и иные выплаты работникам, а также обеспечение мер социальной поддержки отдельных категорий граждан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676" w:rsidRPr="00CD1C89" w:rsidRDefault="006F5676" w:rsidP="006F5676">
            <w:pPr>
              <w:pStyle w:val="60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CD1C89">
              <w:rPr>
                <w:sz w:val="24"/>
                <w:szCs w:val="24"/>
              </w:rPr>
              <w:t>главные</w:t>
            </w:r>
            <w:r w:rsidRPr="00CD1C89">
              <w:rPr>
                <w:sz w:val="24"/>
                <w:szCs w:val="24"/>
              </w:rPr>
              <w:br/>
              <w:t>распорядители</w:t>
            </w:r>
            <w:r w:rsidRPr="00CD1C89">
              <w:rPr>
                <w:sz w:val="24"/>
                <w:szCs w:val="24"/>
              </w:rPr>
              <w:br/>
              <w:t xml:space="preserve">средств </w:t>
            </w:r>
            <w:r w:rsidR="00FD45F9">
              <w:rPr>
                <w:sz w:val="24"/>
                <w:szCs w:val="24"/>
              </w:rPr>
              <w:t>городск</w:t>
            </w:r>
            <w:r w:rsidRPr="00CD1C89">
              <w:rPr>
                <w:sz w:val="24"/>
                <w:szCs w:val="24"/>
              </w:rPr>
              <w:t>ого</w:t>
            </w:r>
            <w:r w:rsidRPr="00CD1C89">
              <w:rPr>
                <w:sz w:val="24"/>
                <w:szCs w:val="24"/>
              </w:rPr>
              <w:br/>
              <w:t>бюджета</w:t>
            </w:r>
            <w:r w:rsidRPr="00CD1C89">
              <w:rPr>
                <w:sz w:val="24"/>
                <w:szCs w:val="24"/>
              </w:rPr>
              <w:br/>
            </w:r>
          </w:p>
          <w:p w:rsidR="006F5676" w:rsidRPr="00CD1C89" w:rsidRDefault="006F5676" w:rsidP="006E5F0F">
            <w:pPr>
              <w:pStyle w:val="20"/>
              <w:shd w:val="clear" w:color="auto" w:fill="auto"/>
              <w:spacing w:before="0" w:after="0" w:line="278" w:lineRule="exact"/>
              <w:ind w:firstLine="520"/>
              <w:jc w:val="center"/>
              <w:rPr>
                <w:rStyle w:val="212p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6F5676" w:rsidP="006E5F0F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center"/>
              <w:rPr>
                <w:rStyle w:val="212pt"/>
              </w:rPr>
            </w:pPr>
            <w:r w:rsidRPr="00CD1C89">
              <w:rPr>
                <w:rStyle w:val="212pt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6F5676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6F5676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76" w:rsidRPr="00CD1C89" w:rsidRDefault="006F5676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6F5676" w:rsidRPr="00CD1C89" w:rsidTr="00BB62F7">
        <w:trPr>
          <w:gridAfter w:val="2"/>
          <w:wAfter w:w="67" w:type="dxa"/>
          <w:trHeight w:hRule="exact" w:val="1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B67AD8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2.6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676" w:rsidRPr="00CD1C89" w:rsidRDefault="006F5676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CD1C89">
              <w:rPr>
                <w:rStyle w:val="212pt"/>
              </w:rPr>
              <w:t>Осуществление работы по реализации энергосберегающих мероприятий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676" w:rsidRPr="00CD1C89" w:rsidRDefault="006F5676" w:rsidP="002B1912">
            <w:pPr>
              <w:pStyle w:val="6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CD1C89">
              <w:rPr>
                <w:sz w:val="24"/>
                <w:szCs w:val="24"/>
                <w:lang w:bidi="ru-RU"/>
              </w:rPr>
              <w:br/>
              <w:t>руководители</w:t>
            </w:r>
            <w:r w:rsidRPr="00CD1C89">
              <w:rPr>
                <w:sz w:val="24"/>
                <w:szCs w:val="24"/>
                <w:lang w:bidi="ru-RU"/>
              </w:rPr>
              <w:br/>
              <w:t>подведомственных</w:t>
            </w:r>
            <w:r w:rsidRPr="00CD1C89">
              <w:rPr>
                <w:sz w:val="24"/>
                <w:szCs w:val="24"/>
                <w:lang w:bidi="ru-RU"/>
              </w:rPr>
              <w:br/>
              <w:t>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8F1B58" w:rsidP="0086163C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6F5676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76" w:rsidRPr="00CD1C89" w:rsidRDefault="006F5676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76" w:rsidRPr="00CD1C89" w:rsidRDefault="006F5676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CD1C89" w:rsidRPr="00CD1C89" w:rsidTr="00BB62F7">
        <w:trPr>
          <w:gridAfter w:val="2"/>
          <w:wAfter w:w="67" w:type="dxa"/>
          <w:trHeight w:hRule="exact" w:val="40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89" w:rsidRPr="00CD1C89" w:rsidRDefault="00B67AD8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2.7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C89" w:rsidRPr="00CD1C89" w:rsidRDefault="00CD1C89" w:rsidP="00FA089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 w:rsidRPr="00CD1C89">
              <w:rPr>
                <w:rStyle w:val="212pt"/>
              </w:rPr>
              <w:t>Не допускать увеличения муниципальных служащих органов местного самоуправления, за исключением случаев, связанных с увеличением объема полномочий и функций обусловленных изменением федерального или регионального законодательства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C89" w:rsidRPr="00CD1C89" w:rsidRDefault="00CD1C89" w:rsidP="006F5676">
            <w:pPr>
              <w:pStyle w:val="60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  <w:lang w:bidi="ru-RU"/>
              </w:rPr>
            </w:pPr>
            <w:r w:rsidRPr="00CD1C89">
              <w:rPr>
                <w:sz w:val="24"/>
                <w:szCs w:val="24"/>
                <w:lang w:bidi="ru-RU"/>
              </w:rPr>
              <w:t>органы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89" w:rsidRPr="00CD1C89" w:rsidRDefault="00CD1C89" w:rsidP="0086163C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center"/>
              <w:rPr>
                <w:rStyle w:val="212pt"/>
              </w:rPr>
            </w:pPr>
            <w:r w:rsidRPr="00CD1C89">
              <w:rPr>
                <w:rStyle w:val="212pt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89" w:rsidRPr="00CD1C89" w:rsidRDefault="00CD1C89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89" w:rsidRPr="00CD1C89" w:rsidRDefault="00CD1C89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89" w:rsidRPr="00CD1C89" w:rsidRDefault="00CD1C89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862420" w:rsidRPr="00CD1C89" w:rsidTr="00BB62F7">
        <w:trPr>
          <w:gridAfter w:val="2"/>
          <w:wAfter w:w="67" w:type="dxa"/>
          <w:trHeight w:hRule="exact" w:val="255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B67AD8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2.8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420" w:rsidRPr="00CD1C89" w:rsidRDefault="00862420" w:rsidP="0086242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</w:rPr>
            </w:pPr>
            <w:r>
              <w:rPr>
                <w:sz w:val="24"/>
                <w:szCs w:val="24"/>
              </w:rPr>
              <w:t xml:space="preserve">Не допускать увеличения численности работников муниципальных </w:t>
            </w:r>
            <w:r w:rsidRPr="00CD1C89">
              <w:rPr>
                <w:sz w:val="24"/>
                <w:szCs w:val="24"/>
              </w:rPr>
              <w:t>учреждений, за исключением случаев, возникших в результате ввода новых объектов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420" w:rsidRPr="00CD1C89" w:rsidRDefault="00862420" w:rsidP="0086163C">
            <w:pPr>
              <w:pStyle w:val="60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  <w:lang w:bidi="ru-RU"/>
              </w:rPr>
            </w:pPr>
            <w:r w:rsidRPr="00CD1C89">
              <w:rPr>
                <w:sz w:val="24"/>
                <w:szCs w:val="24"/>
                <w:lang w:bidi="ru-RU"/>
              </w:rPr>
              <w:t>органы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center"/>
              <w:rPr>
                <w:rStyle w:val="212pt"/>
              </w:rPr>
            </w:pPr>
            <w:r w:rsidRPr="00CD1C89">
              <w:rPr>
                <w:rStyle w:val="212pt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862420" w:rsidRPr="00CD1C89" w:rsidTr="00BB62F7">
        <w:trPr>
          <w:gridAfter w:val="2"/>
          <w:wAfter w:w="67" w:type="dxa"/>
          <w:trHeight w:hRule="exact" w:val="22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B67AD8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2.9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420" w:rsidRDefault="00862420" w:rsidP="00CD00A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62420">
              <w:rPr>
                <w:sz w:val="24"/>
                <w:szCs w:val="24"/>
              </w:rPr>
              <w:t xml:space="preserve">Разработку и утверждение типовых штатных расписаний для муниципальных учреждений только после согласования с финансовым управлением </w:t>
            </w:r>
            <w:r w:rsidR="00CD00AB">
              <w:rPr>
                <w:sz w:val="24"/>
                <w:szCs w:val="24"/>
              </w:rPr>
              <w:t>город</w:t>
            </w:r>
            <w:r w:rsidRPr="00862420">
              <w:rPr>
                <w:sz w:val="24"/>
                <w:szCs w:val="24"/>
              </w:rPr>
              <w:t>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420" w:rsidRPr="00CD1C89" w:rsidRDefault="00862420" w:rsidP="0086163C">
            <w:pPr>
              <w:pStyle w:val="60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  <w:lang w:bidi="ru-RU"/>
              </w:rPr>
            </w:pPr>
            <w:r w:rsidRPr="00CD1C89">
              <w:rPr>
                <w:sz w:val="24"/>
                <w:szCs w:val="24"/>
                <w:lang w:bidi="ru-RU"/>
              </w:rPr>
              <w:t>органы местного самоуправления</w:t>
            </w:r>
            <w:r>
              <w:rPr>
                <w:sz w:val="24"/>
                <w:szCs w:val="24"/>
                <w:lang w:bidi="ru-RU"/>
              </w:rPr>
              <w:t>, Карабулакское городское финансовое управление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center"/>
              <w:rPr>
                <w:rStyle w:val="212pt"/>
              </w:rPr>
            </w:pPr>
            <w:r w:rsidRPr="00CD1C89">
              <w:rPr>
                <w:rStyle w:val="212pt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  <w:tr w:rsidR="00862420" w:rsidRPr="00CD1C89" w:rsidTr="00BB62F7">
        <w:trPr>
          <w:gridAfter w:val="2"/>
          <w:wAfter w:w="67" w:type="dxa"/>
          <w:trHeight w:hRule="exact" w:val="22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B67AD8" w:rsidP="00FA0891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2.10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420" w:rsidRPr="00862420" w:rsidRDefault="00862420" w:rsidP="00C270A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62420">
              <w:rPr>
                <w:sz w:val="24"/>
                <w:szCs w:val="24"/>
              </w:rPr>
              <w:t xml:space="preserve">Осуществление главными распорядителями средств </w:t>
            </w:r>
            <w:r w:rsidR="00C270AD">
              <w:rPr>
                <w:sz w:val="24"/>
                <w:szCs w:val="24"/>
              </w:rPr>
              <w:t>городск</w:t>
            </w:r>
            <w:r w:rsidRPr="00862420">
              <w:rPr>
                <w:sz w:val="24"/>
                <w:szCs w:val="24"/>
              </w:rPr>
              <w:t>ого бюджета внутреннего финансового контроля и финансового аудита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420" w:rsidRPr="00CD1C89" w:rsidRDefault="00C270AD" w:rsidP="00C270AD">
            <w:pPr>
              <w:pStyle w:val="60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ОМС «Администрация г. Карабулак»</w:t>
            </w:r>
            <w:r w:rsidR="00560F9E" w:rsidRPr="00560F9E">
              <w:rPr>
                <w:sz w:val="24"/>
                <w:szCs w:val="24"/>
                <w:lang w:bidi="ru-RU"/>
              </w:rPr>
              <w:br/>
              <w:t>главные</w:t>
            </w:r>
            <w:r w:rsidR="00560F9E" w:rsidRPr="00560F9E">
              <w:rPr>
                <w:sz w:val="24"/>
                <w:szCs w:val="24"/>
                <w:lang w:bidi="ru-RU"/>
              </w:rPr>
              <w:br/>
              <w:t>распорядители</w:t>
            </w:r>
            <w:r w:rsidR="00560F9E" w:rsidRPr="00560F9E">
              <w:rPr>
                <w:sz w:val="24"/>
                <w:szCs w:val="24"/>
                <w:lang w:bidi="ru-RU"/>
              </w:rPr>
              <w:br/>
              <w:t xml:space="preserve">средств </w:t>
            </w:r>
            <w:r>
              <w:rPr>
                <w:sz w:val="24"/>
                <w:szCs w:val="24"/>
                <w:lang w:bidi="ru-RU"/>
              </w:rPr>
              <w:t>городск</w:t>
            </w:r>
            <w:r w:rsidR="00560F9E" w:rsidRPr="00560F9E">
              <w:rPr>
                <w:sz w:val="24"/>
                <w:szCs w:val="24"/>
                <w:lang w:bidi="ru-RU"/>
              </w:rPr>
              <w:t>ого</w:t>
            </w:r>
            <w:r w:rsidR="00560F9E" w:rsidRPr="00560F9E">
              <w:rPr>
                <w:sz w:val="24"/>
                <w:szCs w:val="24"/>
                <w:lang w:bidi="ru-RU"/>
              </w:rPr>
              <w:br/>
              <w:t>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560F9E" w:rsidP="0086163C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420" w:rsidRPr="00CD1C89" w:rsidRDefault="00862420" w:rsidP="0086163C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D1C89">
              <w:rPr>
                <w:rStyle w:val="212pt"/>
              </w:rPr>
              <w:t>да</w:t>
            </w:r>
          </w:p>
        </w:tc>
      </w:tr>
    </w:tbl>
    <w:p w:rsidR="00CF26DF" w:rsidRDefault="00CF26DF" w:rsidP="00CF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1" w:rsidRDefault="00C43711" w:rsidP="00CF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1" w:rsidRDefault="00C43711" w:rsidP="00CF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1" w:rsidRDefault="00C43711" w:rsidP="00CF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1" w:rsidRDefault="00C43711" w:rsidP="00CF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1" w:rsidRDefault="00C43711" w:rsidP="00CF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11" w:rsidRDefault="00C43711" w:rsidP="00C4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43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11" w:rsidRPr="00C43711" w:rsidRDefault="00C43711" w:rsidP="00C4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43711" w:rsidRDefault="00C43711" w:rsidP="00C4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 xml:space="preserve">к программе оздоровления </w:t>
      </w:r>
    </w:p>
    <w:p w:rsidR="00C43711" w:rsidRDefault="00C43711" w:rsidP="00C4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 xml:space="preserve">муниципальных финансов </w:t>
      </w:r>
    </w:p>
    <w:p w:rsidR="00C270AD" w:rsidRPr="00C270AD" w:rsidRDefault="00C270AD" w:rsidP="00C27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3711" w:rsidRDefault="00C270AD" w:rsidP="00C27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AD">
        <w:rPr>
          <w:rFonts w:ascii="Times New Roman" w:hAnsi="Times New Roman" w:cs="Times New Roman"/>
          <w:sz w:val="28"/>
          <w:szCs w:val="28"/>
        </w:rPr>
        <w:t>«Городской округ город Карабулак»</w:t>
      </w:r>
      <w:r w:rsidR="00C43711" w:rsidRPr="00C4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11" w:rsidRDefault="00C43711" w:rsidP="00C4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711">
        <w:rPr>
          <w:rFonts w:ascii="Times New Roman" w:hAnsi="Times New Roman" w:cs="Times New Roman"/>
          <w:sz w:val="28"/>
          <w:szCs w:val="28"/>
        </w:rPr>
        <w:t>на 2021 -2023 годы</w:t>
      </w:r>
    </w:p>
    <w:p w:rsidR="00C43711" w:rsidRDefault="00C43711" w:rsidP="00C4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060" w:rsidRPr="006C3060" w:rsidRDefault="006C3060" w:rsidP="006C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14EFE" w:rsidRPr="00114EFE" w:rsidRDefault="006C3060" w:rsidP="0011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60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 программы оздоровления муниципальных финансов </w:t>
      </w:r>
      <w:r w:rsidR="00114EFE" w:rsidRPr="00114E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43711" w:rsidRDefault="00114EFE" w:rsidP="0011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FE">
        <w:rPr>
          <w:rFonts w:ascii="Times New Roman" w:hAnsi="Times New Roman" w:cs="Times New Roman"/>
          <w:b/>
          <w:sz w:val="28"/>
          <w:szCs w:val="28"/>
        </w:rPr>
        <w:t>«Городской округ город Карабулак»</w:t>
      </w:r>
      <w:r w:rsidR="006C3060" w:rsidRPr="006C3060">
        <w:rPr>
          <w:rFonts w:ascii="Times New Roman" w:hAnsi="Times New Roman" w:cs="Times New Roman"/>
          <w:b/>
          <w:sz w:val="28"/>
          <w:szCs w:val="28"/>
        </w:rPr>
        <w:t xml:space="preserve"> на 2021-2023 годы и объеме полученного бюджетного эффекта</w:t>
      </w:r>
    </w:p>
    <w:p w:rsidR="006C3060" w:rsidRDefault="006C3060" w:rsidP="006C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60" w:rsidRDefault="006C3060" w:rsidP="006C3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060">
        <w:rPr>
          <w:rFonts w:ascii="Times New Roman" w:hAnsi="Times New Roman" w:cs="Times New Roman"/>
          <w:sz w:val="28"/>
          <w:szCs w:val="28"/>
        </w:rPr>
        <w:t>Таблица №</w:t>
      </w:r>
      <w:r w:rsidR="00114EF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5467"/>
        <w:gridCol w:w="1661"/>
        <w:gridCol w:w="2006"/>
        <w:gridCol w:w="4685"/>
      </w:tblGrid>
      <w:tr w:rsidR="006C3060" w:rsidRPr="006C3060" w:rsidTr="006C3060">
        <w:trPr>
          <w:trHeight w:hRule="exact" w:val="65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6C3060" w:rsidRPr="006C3060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AD8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Бюджетный эффект, </w:t>
            </w:r>
          </w:p>
          <w:p w:rsidR="006C3060" w:rsidRPr="006C3060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60" w:rsidRPr="006C3060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Информация об исполнении</w:t>
            </w:r>
          </w:p>
        </w:tc>
      </w:tr>
      <w:tr w:rsidR="006C3060" w:rsidRPr="006C3060" w:rsidTr="006C3060">
        <w:trPr>
          <w:trHeight w:hRule="exact" w:val="970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 на отчетный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060" w:rsidRPr="006C3060" w:rsidRDefault="006C3060" w:rsidP="003F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C30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фактическое исполнение за отчетный период</w:t>
            </w: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C3060" w:rsidRPr="006C3060" w:rsidTr="006C3060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C3060" w:rsidRPr="006C3060" w:rsidTr="006C3060">
        <w:trPr>
          <w:trHeight w:hRule="exact" w:val="3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60" w:rsidRPr="006C3060" w:rsidRDefault="006C3060" w:rsidP="006C30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6C3060" w:rsidRDefault="006C3060" w:rsidP="006C3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908" w:rsidRDefault="003F1908" w:rsidP="006C3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0B8" w:rsidRDefault="006420B8" w:rsidP="003F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                       ____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</w:t>
      </w:r>
    </w:p>
    <w:p w:rsidR="003F1908" w:rsidRPr="006C3060" w:rsidRDefault="006420B8" w:rsidP="003F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0B76">
        <w:rPr>
          <w:rFonts w:ascii="Times New Roman" w:hAnsi="Times New Roman" w:cs="Times New Roman"/>
          <w:sz w:val="28"/>
          <w:szCs w:val="28"/>
        </w:rPr>
        <w:t xml:space="preserve">      </w:t>
      </w:r>
      <w:r w:rsidR="003F1908" w:rsidRPr="003F1908">
        <w:rPr>
          <w:rFonts w:ascii="Times New Roman" w:hAnsi="Times New Roman" w:cs="Times New Roman"/>
          <w:sz w:val="28"/>
          <w:szCs w:val="28"/>
        </w:rPr>
        <w:t>(должность)</w:t>
      </w:r>
      <w:r w:rsidR="00ED0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                                                          (Ф.И.О.)</w:t>
      </w:r>
    </w:p>
    <w:sectPr w:rsidR="003F1908" w:rsidRPr="006C3060" w:rsidSect="00C43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9"/>
    <w:rsid w:val="00020BC8"/>
    <w:rsid w:val="00067508"/>
    <w:rsid w:val="0007660D"/>
    <w:rsid w:val="00114EFE"/>
    <w:rsid w:val="0017493F"/>
    <w:rsid w:val="00183056"/>
    <w:rsid w:val="00187235"/>
    <w:rsid w:val="0023232B"/>
    <w:rsid w:val="00232784"/>
    <w:rsid w:val="002A3295"/>
    <w:rsid w:val="002A58B7"/>
    <w:rsid w:val="002B1912"/>
    <w:rsid w:val="00333B79"/>
    <w:rsid w:val="003E0B3F"/>
    <w:rsid w:val="003F0185"/>
    <w:rsid w:val="003F1908"/>
    <w:rsid w:val="00421F1B"/>
    <w:rsid w:val="004248FD"/>
    <w:rsid w:val="0046239F"/>
    <w:rsid w:val="00474788"/>
    <w:rsid w:val="004B2595"/>
    <w:rsid w:val="00504D23"/>
    <w:rsid w:val="00507631"/>
    <w:rsid w:val="00560F9E"/>
    <w:rsid w:val="005A2D77"/>
    <w:rsid w:val="005B1014"/>
    <w:rsid w:val="005B69C5"/>
    <w:rsid w:val="005C52A5"/>
    <w:rsid w:val="006341AE"/>
    <w:rsid w:val="006420B8"/>
    <w:rsid w:val="006C3060"/>
    <w:rsid w:val="006E5F0F"/>
    <w:rsid w:val="006F5676"/>
    <w:rsid w:val="00714F23"/>
    <w:rsid w:val="00715E86"/>
    <w:rsid w:val="0076031F"/>
    <w:rsid w:val="00791FB9"/>
    <w:rsid w:val="007B15E7"/>
    <w:rsid w:val="007C7219"/>
    <w:rsid w:val="007D6681"/>
    <w:rsid w:val="007E16CB"/>
    <w:rsid w:val="00862420"/>
    <w:rsid w:val="008F1B58"/>
    <w:rsid w:val="00935CF9"/>
    <w:rsid w:val="009703F8"/>
    <w:rsid w:val="0097747F"/>
    <w:rsid w:val="00B67AD8"/>
    <w:rsid w:val="00BB62F7"/>
    <w:rsid w:val="00BB63BB"/>
    <w:rsid w:val="00BC45BA"/>
    <w:rsid w:val="00C15175"/>
    <w:rsid w:val="00C24653"/>
    <w:rsid w:val="00C270AD"/>
    <w:rsid w:val="00C43711"/>
    <w:rsid w:val="00CD00AB"/>
    <w:rsid w:val="00CD1C89"/>
    <w:rsid w:val="00CF26DF"/>
    <w:rsid w:val="00E66F99"/>
    <w:rsid w:val="00EB429A"/>
    <w:rsid w:val="00ED0B76"/>
    <w:rsid w:val="00FA0891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B10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10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10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B1014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B101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1014"/>
    <w:pPr>
      <w:widowControl w:val="0"/>
      <w:shd w:val="clear" w:color="auto" w:fill="FFFFFF"/>
      <w:spacing w:before="360" w:after="180" w:line="370" w:lineRule="exac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FA0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A0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5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67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B10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10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10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B1014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B101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1014"/>
    <w:pPr>
      <w:widowControl w:val="0"/>
      <w:shd w:val="clear" w:color="auto" w:fill="FFFFFF"/>
      <w:spacing w:before="360" w:after="180" w:line="370" w:lineRule="exac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FA0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A0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5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67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1539</Words>
  <Characters>11593</Characters>
  <Application>Microsoft Office Word</Application>
  <DocSecurity>0</DocSecurity>
  <Lines>772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3</cp:revision>
  <dcterms:created xsi:type="dcterms:W3CDTF">2021-02-24T12:18:00Z</dcterms:created>
  <dcterms:modified xsi:type="dcterms:W3CDTF">2021-02-24T12:19:00Z</dcterms:modified>
</cp:coreProperties>
</file>